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2392"/>
        <w:gridCol w:w="2392"/>
        <w:gridCol w:w="2392"/>
        <w:gridCol w:w="2392"/>
        <w:gridCol w:w="2389"/>
      </w:tblGrid>
      <w:tr w:rsidR="003913DD" w:rsidRPr="003F3978" w14:paraId="71DD664F" w14:textId="77777777" w:rsidTr="003913DD">
        <w:trPr>
          <w:trHeight w:val="340"/>
          <w:tblHeader/>
        </w:trPr>
        <w:tc>
          <w:tcPr>
            <w:tcW w:w="3443" w:type="pct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061F238F" w14:textId="53E752B3" w:rsidR="003913DD" w:rsidRPr="003F3978" w:rsidRDefault="003913DD" w:rsidP="00E62B87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color w:val="000000"/>
              </w:rPr>
            </w:pPr>
            <w:r w:rsidRPr="003F3978">
              <w:rPr>
                <w:rFonts w:ascii="Arial" w:hAnsi="Arial" w:cs="Arial"/>
                <w:b/>
                <w:color w:val="000000"/>
              </w:rPr>
              <w:t>Modul 2: Agrarwirtschaftliche Unternehmen führen und entwickeln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A3E6E2" w14:textId="1FA0AF7C" w:rsidR="003913DD" w:rsidRPr="003F3978" w:rsidRDefault="003913DD" w:rsidP="003913DD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color w:val="000000"/>
              </w:rPr>
            </w:pPr>
            <w:r w:rsidRPr="003F3978">
              <w:rPr>
                <w:rFonts w:ascii="Arial" w:hAnsi="Arial" w:cs="Arial"/>
                <w:b/>
                <w:color w:val="000000"/>
              </w:rPr>
              <w:t>Zeitrichtwert: 200 U-Stunden</w:t>
            </w:r>
          </w:p>
        </w:tc>
      </w:tr>
      <w:tr w:rsidR="003913DD" w:rsidRPr="003F3978" w14:paraId="4C4F47D1" w14:textId="6FE58891" w:rsidTr="003913DD">
        <w:trPr>
          <w:trHeight w:val="466"/>
          <w:tblHeader/>
        </w:trPr>
        <w:tc>
          <w:tcPr>
            <w:tcW w:w="1106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AFC3FD" w14:textId="3AF3290C" w:rsidR="003913DD" w:rsidRPr="003F3978" w:rsidRDefault="003913DD" w:rsidP="003913DD">
            <w:pPr>
              <w:rPr>
                <w:rFonts w:ascii="Arial" w:hAnsi="Arial" w:cs="Arial"/>
                <w:b/>
              </w:rPr>
            </w:pPr>
            <w:r w:rsidRPr="00176F9C">
              <w:rPr>
                <w:rFonts w:ascii="Arial" w:hAnsi="Arial" w:cs="Arial"/>
                <w:b/>
              </w:rPr>
              <w:t>Titel der Lernsituationen</w:t>
            </w:r>
          </w:p>
        </w:tc>
        <w:tc>
          <w:tcPr>
            <w:tcW w:w="77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45EDA2" w14:textId="77777777" w:rsidR="003913DD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LS 2.1</w:t>
            </w:r>
          </w:p>
          <w:p w14:paraId="4FFEC53C" w14:textId="2B0A155E" w:rsidR="003913DD" w:rsidRPr="003F3978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Betriebsgründung planen</w:t>
            </w: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68B153" w14:textId="5E499FFF" w:rsidR="003913DD" w:rsidRPr="003F3978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LS 2.2</w:t>
            </w:r>
          </w:p>
          <w:p w14:paraId="7BE1603E" w14:textId="38DFCFA6" w:rsidR="003913DD" w:rsidRPr="003F3978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 xml:space="preserve">Agrarwirtschaftliche </w:t>
            </w:r>
            <w:r>
              <w:rPr>
                <w:rFonts w:ascii="Arial" w:hAnsi="Arial" w:cs="Arial"/>
                <w:b/>
              </w:rPr>
              <w:br/>
            </w:r>
            <w:r w:rsidRPr="003F3978">
              <w:rPr>
                <w:rFonts w:ascii="Arial" w:hAnsi="Arial" w:cs="Arial"/>
                <w:b/>
              </w:rPr>
              <w:t xml:space="preserve">Märkte </w:t>
            </w:r>
            <w:r w:rsidR="009D38B8">
              <w:rPr>
                <w:rFonts w:ascii="Arial" w:hAnsi="Arial" w:cs="Arial"/>
                <w:b/>
              </w:rPr>
              <w:br/>
            </w:r>
            <w:r w:rsidRPr="003F3978">
              <w:rPr>
                <w:rFonts w:ascii="Arial" w:hAnsi="Arial" w:cs="Arial"/>
                <w:b/>
              </w:rPr>
              <w:t>analysieren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46FD3" w14:textId="18F40AAE" w:rsidR="003913DD" w:rsidRPr="003F3978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LS 2.3</w:t>
            </w:r>
          </w:p>
          <w:p w14:paraId="10361560" w14:textId="7D2DE473" w:rsidR="003913DD" w:rsidRPr="003F3978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Betriebliche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3F3978">
              <w:rPr>
                <w:rFonts w:ascii="Arial" w:hAnsi="Arial" w:cs="Arial"/>
                <w:b/>
              </w:rPr>
              <w:t xml:space="preserve">Produkte </w:t>
            </w:r>
            <w:r w:rsidR="009D38B8">
              <w:rPr>
                <w:rFonts w:ascii="Arial" w:hAnsi="Arial" w:cs="Arial"/>
                <w:b/>
              </w:rPr>
              <w:br/>
            </w:r>
            <w:r w:rsidRPr="003F3978">
              <w:rPr>
                <w:rFonts w:ascii="Arial" w:hAnsi="Arial" w:cs="Arial"/>
                <w:b/>
              </w:rPr>
              <w:t>anbieten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9279907" w14:textId="71E14224" w:rsidR="003913DD" w:rsidRPr="003F3978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LS 2.4</w:t>
            </w:r>
          </w:p>
          <w:p w14:paraId="05DEB841" w14:textId="40F28074" w:rsidR="003913DD" w:rsidRPr="003F3978" w:rsidRDefault="003913DD" w:rsidP="009D38B8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Personal</w:t>
            </w:r>
            <w:r w:rsidR="006C2AC6">
              <w:rPr>
                <w:rFonts w:ascii="Arial" w:hAnsi="Arial" w:cs="Arial"/>
                <w:b/>
              </w:rPr>
              <w:softHyphen/>
            </w:r>
            <w:r w:rsidR="009D38B8">
              <w:rPr>
                <w:rFonts w:ascii="Arial" w:hAnsi="Arial" w:cs="Arial"/>
                <w:b/>
              </w:rPr>
              <w:t>-</w:t>
            </w:r>
            <w:r w:rsidR="009D38B8">
              <w:rPr>
                <w:rFonts w:ascii="Arial" w:hAnsi="Arial" w:cs="Arial"/>
                <w:b/>
              </w:rPr>
              <w:br/>
            </w:r>
            <w:proofErr w:type="spellStart"/>
            <w:r w:rsidRPr="003F3978">
              <w:rPr>
                <w:rFonts w:ascii="Arial" w:hAnsi="Arial" w:cs="Arial"/>
                <w:b/>
              </w:rPr>
              <w:t>managemen</w:t>
            </w:r>
            <w:r w:rsidR="006C2AC6">
              <w:rPr>
                <w:rFonts w:ascii="Arial" w:hAnsi="Arial" w:cs="Arial"/>
                <w:b/>
              </w:rPr>
              <w:softHyphen/>
            </w:r>
            <w:r w:rsidRPr="003F3978">
              <w:rPr>
                <w:rFonts w:ascii="Arial" w:hAnsi="Arial" w:cs="Arial"/>
                <w:b/>
              </w:rPr>
              <w:t>t</w:t>
            </w:r>
            <w:proofErr w:type="spellEnd"/>
            <w:r w:rsidRPr="003F3978">
              <w:rPr>
                <w:rFonts w:ascii="Arial" w:hAnsi="Arial" w:cs="Arial"/>
                <w:b/>
              </w:rPr>
              <w:t xml:space="preserve"> </w:t>
            </w:r>
            <w:r w:rsidR="009D38B8">
              <w:rPr>
                <w:rFonts w:ascii="Arial" w:hAnsi="Arial" w:cs="Arial"/>
                <w:b/>
              </w:rPr>
              <w:br/>
            </w:r>
            <w:r w:rsidRPr="003F3978">
              <w:rPr>
                <w:rFonts w:ascii="Arial" w:hAnsi="Arial" w:cs="Arial"/>
                <w:b/>
              </w:rPr>
              <w:t>betreiben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C0654FB" w14:textId="21CE19BB" w:rsidR="003913DD" w:rsidRPr="003F3978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LS 2.5</w:t>
            </w:r>
          </w:p>
          <w:p w14:paraId="53B51A1C" w14:textId="7F05C8DC" w:rsidR="003913DD" w:rsidRPr="003F3978" w:rsidRDefault="003913DD" w:rsidP="003913DD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 xml:space="preserve">Arbeitssicherheit </w:t>
            </w:r>
            <w:r w:rsidR="00784E72">
              <w:rPr>
                <w:rFonts w:ascii="Arial" w:hAnsi="Arial" w:cs="Arial"/>
                <w:b/>
              </w:rPr>
              <w:br/>
            </w:r>
            <w:r w:rsidRPr="003F3978">
              <w:rPr>
                <w:rFonts w:ascii="Arial" w:hAnsi="Arial" w:cs="Arial"/>
                <w:b/>
              </w:rPr>
              <w:t>leben</w:t>
            </w:r>
          </w:p>
        </w:tc>
      </w:tr>
      <w:tr w:rsidR="003F3978" w:rsidRPr="003F3978" w14:paraId="0792BB19" w14:textId="77777777" w:rsidTr="003913DD">
        <w:trPr>
          <w:trHeight w:val="454"/>
          <w:tblHeader/>
        </w:trPr>
        <w:tc>
          <w:tcPr>
            <w:tcW w:w="1106" w:type="pct"/>
            <w:shd w:val="clear" w:color="auto" w:fill="E7E6E6" w:themeFill="background2"/>
          </w:tcPr>
          <w:p w14:paraId="623D74C1" w14:textId="06B5EDBF" w:rsidR="003F3978" w:rsidRPr="003F3978" w:rsidRDefault="003F3978" w:rsidP="003F39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F3978">
              <w:rPr>
                <w:rFonts w:ascii="Arial" w:hAnsi="Arial" w:cs="Arial"/>
                <w:b/>
                <w:bCs/>
                <w:color w:val="000000"/>
              </w:rPr>
              <w:t>Zeitrichtwert (</w:t>
            </w:r>
            <w:r w:rsidR="00B020FA">
              <w:rPr>
                <w:rFonts w:ascii="Arial" w:hAnsi="Arial" w:cs="Arial"/>
                <w:b/>
                <w:bCs/>
                <w:color w:val="000000"/>
              </w:rPr>
              <w:t>U-</w:t>
            </w:r>
            <w:r w:rsidRPr="003F3978">
              <w:rPr>
                <w:rFonts w:ascii="Arial" w:hAnsi="Arial" w:cs="Arial"/>
                <w:b/>
                <w:bCs/>
                <w:color w:val="000000"/>
              </w:rPr>
              <w:t>Stunden)</w:t>
            </w:r>
          </w:p>
        </w:tc>
        <w:tc>
          <w:tcPr>
            <w:tcW w:w="779" w:type="pct"/>
            <w:shd w:val="clear" w:color="auto" w:fill="E7E6E6" w:themeFill="background2"/>
          </w:tcPr>
          <w:p w14:paraId="6AB4FCE8" w14:textId="63A94A02" w:rsidR="003F3978" w:rsidRPr="003F3978" w:rsidRDefault="003F3978" w:rsidP="00E62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3F3978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779" w:type="pct"/>
            <w:shd w:val="clear" w:color="auto" w:fill="E7E6E6" w:themeFill="background2"/>
          </w:tcPr>
          <w:p w14:paraId="3C574698" w14:textId="53F23628" w:rsidR="003F3978" w:rsidRPr="003F3978" w:rsidRDefault="003F3978" w:rsidP="00E62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3F3978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779" w:type="pct"/>
            <w:shd w:val="clear" w:color="auto" w:fill="E7E6E6" w:themeFill="background2"/>
          </w:tcPr>
          <w:p w14:paraId="7B3C07C9" w14:textId="44E24B98" w:rsidR="003F3978" w:rsidRPr="003F3978" w:rsidRDefault="003F3978" w:rsidP="00E62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3F3978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779" w:type="pct"/>
            <w:shd w:val="clear" w:color="auto" w:fill="E7E6E6" w:themeFill="background2"/>
          </w:tcPr>
          <w:p w14:paraId="4903B0AA" w14:textId="5C79B68D" w:rsidR="003F3978" w:rsidRPr="003F3978" w:rsidRDefault="003F3978" w:rsidP="00E62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3F3978"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778" w:type="pct"/>
            <w:shd w:val="clear" w:color="auto" w:fill="E7E6E6" w:themeFill="background2"/>
          </w:tcPr>
          <w:p w14:paraId="2D9D5355" w14:textId="45772B60" w:rsidR="003F3978" w:rsidRPr="003F3978" w:rsidRDefault="003F3978" w:rsidP="00E62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3F3978"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B020FA" w:rsidRPr="003F3978" w14:paraId="0B8D801E" w14:textId="77777777" w:rsidTr="00B020FA">
        <w:trPr>
          <w:trHeight w:val="454"/>
          <w:tblHeader/>
        </w:trPr>
        <w:tc>
          <w:tcPr>
            <w:tcW w:w="1106" w:type="pct"/>
            <w:shd w:val="clear" w:color="auto" w:fill="E7E6E6" w:themeFill="background2"/>
          </w:tcPr>
          <w:p w14:paraId="6F203210" w14:textId="77777777" w:rsidR="00B020FA" w:rsidRPr="003F3978" w:rsidRDefault="00B020FA" w:rsidP="003F39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F3978">
              <w:rPr>
                <w:rFonts w:ascii="Arial" w:hAnsi="Arial" w:cs="Arial"/>
                <w:b/>
                <w:color w:val="000000"/>
              </w:rPr>
              <w:t>Kompetenzen aus RRL</w:t>
            </w:r>
          </w:p>
        </w:tc>
        <w:tc>
          <w:tcPr>
            <w:tcW w:w="3894" w:type="pct"/>
            <w:gridSpan w:val="5"/>
            <w:shd w:val="clear" w:color="auto" w:fill="E7E6E6" w:themeFill="background2"/>
          </w:tcPr>
          <w:p w14:paraId="412D8D2B" w14:textId="04195654" w:rsidR="00B020FA" w:rsidRPr="003F3978" w:rsidRDefault="00B020FA" w:rsidP="003F3978">
            <w:pPr>
              <w:jc w:val="center"/>
              <w:rPr>
                <w:rFonts w:ascii="Arial" w:hAnsi="Arial" w:cs="Arial"/>
                <w:b/>
              </w:rPr>
            </w:pPr>
            <w:r w:rsidRPr="003F3978">
              <w:rPr>
                <w:rFonts w:ascii="Arial" w:hAnsi="Arial" w:cs="Arial"/>
                <w:b/>
              </w:rPr>
              <w:t>Kompetenzen der Lernsituationen</w:t>
            </w:r>
          </w:p>
        </w:tc>
      </w:tr>
      <w:tr w:rsidR="00B020FA" w:rsidRPr="003F3978" w14:paraId="19CC82C2" w14:textId="65B792B0" w:rsidTr="00B020FA">
        <w:trPr>
          <w:trHeight w:val="454"/>
        </w:trPr>
        <w:tc>
          <w:tcPr>
            <w:tcW w:w="5000" w:type="pct"/>
            <w:gridSpan w:val="6"/>
            <w:shd w:val="clear" w:color="auto" w:fill="E7E6E6" w:themeFill="background2"/>
          </w:tcPr>
          <w:p w14:paraId="4E836711" w14:textId="3778219D" w:rsidR="00B020FA" w:rsidRPr="003F3978" w:rsidRDefault="00B020FA" w:rsidP="000056BA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  <w:b/>
                <w:bCs/>
                <w:color w:val="000000"/>
              </w:rPr>
              <w:t>Personale Kompetenz</w:t>
            </w:r>
          </w:p>
        </w:tc>
      </w:tr>
      <w:tr w:rsidR="00A409D6" w:rsidRPr="003F3978" w14:paraId="3157D149" w14:textId="2215DE0E" w:rsidTr="003913DD">
        <w:trPr>
          <w:trHeight w:val="454"/>
        </w:trPr>
        <w:tc>
          <w:tcPr>
            <w:tcW w:w="1106" w:type="pct"/>
          </w:tcPr>
          <w:p w14:paraId="55C119E0" w14:textId="4F7ABC00" w:rsidR="00A409D6" w:rsidRPr="003F3978" w:rsidRDefault="00A409D6" w:rsidP="000056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  <w:color w:val="000000"/>
              </w:rPr>
              <w:t>Die Schülerinnen und Schüler zeigen sich offen gegenüber unterschiedlichen Strategien in der Unternehmensführung.</w:t>
            </w:r>
          </w:p>
        </w:tc>
        <w:tc>
          <w:tcPr>
            <w:tcW w:w="779" w:type="pct"/>
          </w:tcPr>
          <w:p w14:paraId="6C0A9890" w14:textId="437A6579" w:rsidR="00A409D6" w:rsidRPr="003F3978" w:rsidRDefault="00D76834" w:rsidP="000056BA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  <w:color w:val="000000"/>
              </w:rPr>
              <w:t xml:space="preserve">Die Schülerinnen und Schüler </w:t>
            </w:r>
            <w:r w:rsidR="00C82F5C">
              <w:rPr>
                <w:rFonts w:ascii="Arial" w:hAnsi="Arial" w:cs="Arial"/>
                <w:color w:val="000000"/>
              </w:rPr>
              <w:t>erfassen die Notwendigkeit von strategischem Vorgehen</w:t>
            </w:r>
            <w:r w:rsidRPr="003F3978">
              <w:rPr>
                <w:rFonts w:ascii="Arial" w:hAnsi="Arial" w:cs="Arial"/>
                <w:color w:val="000000"/>
              </w:rPr>
              <w:t xml:space="preserve"> in der Unternehmensführung.</w:t>
            </w:r>
          </w:p>
        </w:tc>
        <w:tc>
          <w:tcPr>
            <w:tcW w:w="779" w:type="pct"/>
          </w:tcPr>
          <w:p w14:paraId="6D8BC59E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2629419A" w14:textId="0BB56AB8" w:rsidR="00A409D6" w:rsidRPr="003F3978" w:rsidRDefault="00317746" w:rsidP="000056BA">
            <w:pPr>
              <w:rPr>
                <w:rFonts w:ascii="Arial" w:hAnsi="Arial" w:cs="Arial"/>
              </w:rPr>
            </w:pPr>
            <w:r w:rsidRPr="00317746">
              <w:rPr>
                <w:rFonts w:ascii="Arial" w:hAnsi="Arial" w:cs="Arial"/>
              </w:rPr>
              <w:t>Die Schülerinnen und Schüler zeigen sich offen gegenüber unterschiedlichen Strategien in der Unternehmensführung.</w:t>
            </w:r>
          </w:p>
        </w:tc>
        <w:tc>
          <w:tcPr>
            <w:tcW w:w="779" w:type="pct"/>
          </w:tcPr>
          <w:p w14:paraId="17C66686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3BF4819F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</w:tr>
      <w:tr w:rsidR="00A409D6" w:rsidRPr="003F3978" w14:paraId="2C33F1E0" w14:textId="2E1D95FE" w:rsidTr="003913DD">
        <w:trPr>
          <w:trHeight w:val="454"/>
        </w:trPr>
        <w:tc>
          <w:tcPr>
            <w:tcW w:w="1106" w:type="pct"/>
          </w:tcPr>
          <w:p w14:paraId="1104B69D" w14:textId="78188F35" w:rsidR="00A409D6" w:rsidRPr="003F3978" w:rsidRDefault="00A409D6" w:rsidP="000056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  <w:color w:val="000000"/>
              </w:rPr>
              <w:t>Sie organisieren Teamarbeit und delegieren Aufgaben.</w:t>
            </w:r>
          </w:p>
        </w:tc>
        <w:tc>
          <w:tcPr>
            <w:tcW w:w="779" w:type="pct"/>
          </w:tcPr>
          <w:p w14:paraId="7CDE5762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78CB4D33" w14:textId="49CDBEE6" w:rsidR="00A409D6" w:rsidRPr="003F3978" w:rsidRDefault="003F3978" w:rsidP="000056BA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 xml:space="preserve">Die Schülerinnen und Schüler </w:t>
            </w:r>
            <w:r w:rsidR="00D76834" w:rsidRPr="003F3978">
              <w:rPr>
                <w:rFonts w:ascii="Arial" w:hAnsi="Arial" w:cs="Arial"/>
              </w:rPr>
              <w:t>organisieren Teamarbeit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79" w:type="pct"/>
          </w:tcPr>
          <w:p w14:paraId="2A5D8E72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622E7B10" w14:textId="75215751" w:rsidR="00A409D6" w:rsidRPr="003F3978" w:rsidRDefault="003F3978" w:rsidP="000056BA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>Die Schülerinnen und Schüler</w:t>
            </w:r>
            <w:r w:rsidR="00D76834" w:rsidRPr="003F3978">
              <w:rPr>
                <w:rFonts w:ascii="Arial" w:hAnsi="Arial" w:cs="Arial"/>
              </w:rPr>
              <w:t xml:space="preserve"> delegieren Aufgaben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78" w:type="pct"/>
          </w:tcPr>
          <w:p w14:paraId="400FF3F6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</w:tr>
      <w:tr w:rsidR="00A409D6" w:rsidRPr="003F3978" w14:paraId="6C0C4D32" w14:textId="3F0EF12B" w:rsidTr="003913DD">
        <w:trPr>
          <w:trHeight w:val="454"/>
        </w:trPr>
        <w:tc>
          <w:tcPr>
            <w:tcW w:w="1106" w:type="pct"/>
          </w:tcPr>
          <w:p w14:paraId="5FD2E8C7" w14:textId="006A9945" w:rsidR="00A409D6" w:rsidRPr="003F3978" w:rsidRDefault="00A409D6" w:rsidP="000056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  <w:color w:val="000000"/>
              </w:rPr>
              <w:t>Sie entwickeln eine situations- und rollengerechte Kommunikation mit Auszubildenden, Mitarbeiterinnen und Mitarbeitern sowie Familienangehörigen.</w:t>
            </w:r>
          </w:p>
        </w:tc>
        <w:tc>
          <w:tcPr>
            <w:tcW w:w="779" w:type="pct"/>
          </w:tcPr>
          <w:p w14:paraId="3939024B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5B19D594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092382E8" w14:textId="77777777" w:rsidR="00A409D6" w:rsidRPr="003F3978" w:rsidRDefault="00A409D6" w:rsidP="000056BA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3261C697" w14:textId="49E6A5B7" w:rsidR="00A409D6" w:rsidRPr="003F3978" w:rsidRDefault="00D76834" w:rsidP="000056BA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 xml:space="preserve">Sie </w:t>
            </w:r>
            <w:r w:rsidR="0059267A">
              <w:rPr>
                <w:rFonts w:ascii="Arial" w:hAnsi="Arial" w:cs="Arial"/>
              </w:rPr>
              <w:t>erkennen die Notwendigkeit</w:t>
            </w:r>
            <w:r w:rsidRPr="003F3978">
              <w:rPr>
                <w:rFonts w:ascii="Arial" w:hAnsi="Arial" w:cs="Arial"/>
              </w:rPr>
              <w:t xml:space="preserve"> adressatengerechte</w:t>
            </w:r>
            <w:r w:rsidR="0059267A">
              <w:rPr>
                <w:rFonts w:ascii="Arial" w:hAnsi="Arial" w:cs="Arial"/>
              </w:rPr>
              <w:t>r</w:t>
            </w:r>
            <w:r w:rsidRPr="003F3978">
              <w:rPr>
                <w:rFonts w:ascii="Arial" w:hAnsi="Arial" w:cs="Arial"/>
              </w:rPr>
              <w:t xml:space="preserve"> Kommunikation</w:t>
            </w:r>
            <w:r w:rsidR="003F3978">
              <w:rPr>
                <w:rFonts w:ascii="Arial" w:hAnsi="Arial" w:cs="Arial"/>
              </w:rPr>
              <w:t>.</w:t>
            </w:r>
          </w:p>
        </w:tc>
        <w:tc>
          <w:tcPr>
            <w:tcW w:w="778" w:type="pct"/>
          </w:tcPr>
          <w:p w14:paraId="3B46DF6E" w14:textId="299C525C" w:rsidR="00A409D6" w:rsidRPr="003F3978" w:rsidRDefault="003F3978" w:rsidP="000056BA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>Die Schülerinnen und Schüler</w:t>
            </w:r>
            <w:r w:rsidR="00D76834" w:rsidRPr="003F3978">
              <w:rPr>
                <w:rFonts w:ascii="Arial" w:hAnsi="Arial" w:cs="Arial"/>
              </w:rPr>
              <w:t xml:space="preserve"> wenden situations- und rollengerechte Kommunikation an</w:t>
            </w:r>
            <w:r>
              <w:rPr>
                <w:rFonts w:ascii="Arial" w:hAnsi="Arial" w:cs="Arial"/>
              </w:rPr>
              <w:t>.</w:t>
            </w:r>
          </w:p>
        </w:tc>
      </w:tr>
      <w:tr w:rsidR="00B020FA" w:rsidRPr="003F3978" w14:paraId="4474204B" w14:textId="77777777" w:rsidTr="0091145E">
        <w:trPr>
          <w:trHeight w:val="454"/>
        </w:trPr>
        <w:tc>
          <w:tcPr>
            <w:tcW w:w="5000" w:type="pct"/>
            <w:gridSpan w:val="6"/>
            <w:shd w:val="clear" w:color="auto" w:fill="E7E6E6" w:themeFill="background2"/>
          </w:tcPr>
          <w:p w14:paraId="606CAEA0" w14:textId="77777777" w:rsidR="00B020FA" w:rsidRPr="003F3978" w:rsidRDefault="00B020FA" w:rsidP="00B020FA">
            <w:pPr>
              <w:pageBreakBefore/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  <w:b/>
                <w:bCs/>
                <w:color w:val="000000"/>
              </w:rPr>
              <w:lastRenderedPageBreak/>
              <w:t>Personale Kompetenz</w:t>
            </w:r>
          </w:p>
        </w:tc>
      </w:tr>
      <w:tr w:rsidR="003F3978" w:rsidRPr="003F3978" w14:paraId="48ECD49B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24C9ECFA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  <w:color w:val="000000"/>
              </w:rPr>
              <w:t>Sie kommunizieren wertschätzend und adressatengerecht im Rahmen von Personalgesprächen.</w:t>
            </w:r>
          </w:p>
        </w:tc>
        <w:tc>
          <w:tcPr>
            <w:tcW w:w="779" w:type="pct"/>
          </w:tcPr>
          <w:p w14:paraId="7194F8E0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7B1CA335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14AE0F95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74988D2F" w14:textId="77777777" w:rsidR="003F3978" w:rsidRPr="003F3978" w:rsidRDefault="003F3978" w:rsidP="00D446FC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  <w:color w:val="000000"/>
              </w:rPr>
              <w:t>Sie kommunizieren wertschätzend und adressatengerecht im Rahmen von Personalgesprächen.</w:t>
            </w:r>
          </w:p>
        </w:tc>
        <w:tc>
          <w:tcPr>
            <w:tcW w:w="778" w:type="pct"/>
          </w:tcPr>
          <w:p w14:paraId="1B6D3DE9" w14:textId="77777777" w:rsidR="003F3978" w:rsidRPr="003F3978" w:rsidRDefault="003F3978" w:rsidP="00D446FC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>Sie kommunizieren auch unliebsame Aspekte der Arbeitssicherheit wertschätzend</w:t>
            </w:r>
          </w:p>
        </w:tc>
      </w:tr>
      <w:tr w:rsidR="003F3978" w:rsidRPr="003F3978" w14:paraId="345A69DA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40A52AA8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  <w:color w:val="000000"/>
              </w:rPr>
              <w:t>Sie identifizieren sich mit der Rolle als Arbeitgeberin und Arbeitgeber und bewerten ihr pädagogisches Handeln.</w:t>
            </w:r>
          </w:p>
        </w:tc>
        <w:tc>
          <w:tcPr>
            <w:tcW w:w="779" w:type="pct"/>
          </w:tcPr>
          <w:p w14:paraId="1B623B89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2292BBB5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7237C66C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7E748B3A" w14:textId="77777777" w:rsidR="00970586" w:rsidRDefault="003F3978" w:rsidP="00D446FC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 xml:space="preserve">Sie identifizieren sich mit der Rolle als </w:t>
            </w:r>
            <w:r w:rsidR="00E10067" w:rsidRPr="00E10067">
              <w:rPr>
                <w:rFonts w:ascii="Arial" w:hAnsi="Arial" w:cs="Arial"/>
              </w:rPr>
              <w:t xml:space="preserve">Arbeitgeberin/Arbeitgeber </w:t>
            </w:r>
            <w:r w:rsidRPr="003F3978">
              <w:rPr>
                <w:rFonts w:ascii="Arial" w:hAnsi="Arial" w:cs="Arial"/>
              </w:rPr>
              <w:t xml:space="preserve">und </w:t>
            </w:r>
            <w:r w:rsidR="00E10067" w:rsidRPr="00CB59CD">
              <w:rPr>
                <w:rFonts w:ascii="Arial" w:hAnsi="Arial" w:cs="Arial"/>
              </w:rPr>
              <w:t>Ausbilder</w:t>
            </w:r>
            <w:r w:rsidR="00E10067">
              <w:rPr>
                <w:rFonts w:ascii="Arial" w:hAnsi="Arial" w:cs="Arial"/>
              </w:rPr>
              <w:t>in/</w:t>
            </w:r>
            <w:r w:rsidR="00E10067" w:rsidRPr="00CB59CD">
              <w:rPr>
                <w:rFonts w:ascii="Arial" w:hAnsi="Arial" w:cs="Arial"/>
              </w:rPr>
              <w:t>Ausbilder</w:t>
            </w:r>
            <w:r w:rsidR="00970586">
              <w:rPr>
                <w:rFonts w:ascii="Arial" w:hAnsi="Arial" w:cs="Arial"/>
              </w:rPr>
              <w:t>.</w:t>
            </w:r>
          </w:p>
          <w:p w14:paraId="60C41BDD" w14:textId="0D1535C5" w:rsidR="003F3978" w:rsidRPr="003F3978" w:rsidRDefault="00970586" w:rsidP="00D44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 reflektieren ihr</w:t>
            </w:r>
            <w:r w:rsidR="003F3978" w:rsidRPr="003F3978">
              <w:rPr>
                <w:rFonts w:ascii="Arial" w:hAnsi="Arial" w:cs="Arial"/>
              </w:rPr>
              <w:t xml:space="preserve"> pädagogische</w:t>
            </w:r>
            <w:r>
              <w:rPr>
                <w:rFonts w:ascii="Arial" w:hAnsi="Arial" w:cs="Arial"/>
              </w:rPr>
              <w:t>s</w:t>
            </w:r>
            <w:r w:rsidR="003F3978" w:rsidRPr="003F3978">
              <w:rPr>
                <w:rFonts w:ascii="Arial" w:hAnsi="Arial" w:cs="Arial"/>
              </w:rPr>
              <w:t xml:space="preserve"> Handeln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78" w:type="pct"/>
          </w:tcPr>
          <w:p w14:paraId="5E6DC639" w14:textId="38CD13D1" w:rsidR="003F3978" w:rsidRPr="003F3978" w:rsidRDefault="003F3978" w:rsidP="00D446FC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 xml:space="preserve">Sie nehmen die mit ihrer Rolle als </w:t>
            </w:r>
            <w:proofErr w:type="spellStart"/>
            <w:r w:rsidR="00E10067">
              <w:rPr>
                <w:rFonts w:ascii="Arial" w:hAnsi="Arial" w:cs="Arial"/>
              </w:rPr>
              <w:t>Arbeitgerin</w:t>
            </w:r>
            <w:proofErr w:type="spellEnd"/>
            <w:r w:rsidR="00E10067">
              <w:rPr>
                <w:rFonts w:ascii="Arial" w:hAnsi="Arial" w:cs="Arial"/>
              </w:rPr>
              <w:t>/</w:t>
            </w:r>
            <w:r w:rsidRPr="003F3978">
              <w:rPr>
                <w:rFonts w:ascii="Arial" w:hAnsi="Arial" w:cs="Arial"/>
              </w:rPr>
              <w:t>Arbeitgeber verbundene Fürsorgepflicht als Aufgabe wahr</w:t>
            </w:r>
            <w:r w:rsidR="00E10067">
              <w:rPr>
                <w:rFonts w:ascii="Arial" w:hAnsi="Arial" w:cs="Arial"/>
              </w:rPr>
              <w:t>.</w:t>
            </w:r>
          </w:p>
        </w:tc>
      </w:tr>
      <w:tr w:rsidR="003F3978" w:rsidRPr="003F3978" w14:paraId="66E019D8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0B9B8E50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  <w:color w:val="000000"/>
              </w:rPr>
              <w:lastRenderedPageBreak/>
              <w:t>Sie sind achtsam gegenüber Betriebsangehörigen, sich selbst und der Umwelt.</w:t>
            </w:r>
          </w:p>
        </w:tc>
        <w:tc>
          <w:tcPr>
            <w:tcW w:w="779" w:type="pct"/>
          </w:tcPr>
          <w:p w14:paraId="69AF5CCA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0787A766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7A2DAAC0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44FC7884" w14:textId="34F95CCF" w:rsidR="003F3978" w:rsidRPr="003F3978" w:rsidRDefault="003F3978" w:rsidP="00B020FA">
            <w:pPr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  <w:color w:val="000000"/>
              </w:rPr>
              <w:t>Sie sind achtsam gegenüber Betriebsangehörigen und sich selbst</w:t>
            </w:r>
            <w:r w:rsidR="0097058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78" w:type="pct"/>
          </w:tcPr>
          <w:p w14:paraId="24A84808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</w:tr>
      <w:tr w:rsidR="00784E72" w:rsidRPr="003F3978" w14:paraId="2E1FF2AE" w14:textId="77777777" w:rsidTr="00694402">
        <w:trPr>
          <w:trHeight w:val="454"/>
        </w:trPr>
        <w:tc>
          <w:tcPr>
            <w:tcW w:w="5000" w:type="pct"/>
            <w:gridSpan w:val="6"/>
            <w:shd w:val="clear" w:color="auto" w:fill="E7E6E6"/>
          </w:tcPr>
          <w:p w14:paraId="63B4E772" w14:textId="389E498E" w:rsidR="00784E72" w:rsidRPr="003F3978" w:rsidRDefault="00784E72" w:rsidP="00B020FA">
            <w:pPr>
              <w:pageBreakBefore/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3F3978" w:rsidRPr="003F3978" w14:paraId="165D58AC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1AADD721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</w:rPr>
              <w:t>Die Schülerinnen und Schüler vergleichen Möglichkeiten einer Betriebsübergabe bzw. -gründung hinsichtlich relevanter rechtlicher, steuerlicher und wirtschaftlicher Auswirkungen.</w:t>
            </w:r>
          </w:p>
        </w:tc>
        <w:tc>
          <w:tcPr>
            <w:tcW w:w="779" w:type="pct"/>
          </w:tcPr>
          <w:p w14:paraId="1A22BF45" w14:textId="77777777" w:rsidR="003F3978" w:rsidRPr="003F3978" w:rsidRDefault="003F3978" w:rsidP="00D446FC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>Die Schülerinnen und Schüler vergleichen Möglichkeiten einer Betriebsübergabe bzw. -gründung hinsichtlich relevanter rechtlicher, steuerlicher und wirtschaftlicher Auswirkungen.</w:t>
            </w:r>
          </w:p>
        </w:tc>
        <w:tc>
          <w:tcPr>
            <w:tcW w:w="779" w:type="pct"/>
          </w:tcPr>
          <w:p w14:paraId="421068F9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0A97E70F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0087F2AF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7A75DAF1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</w:tr>
      <w:tr w:rsidR="00784E72" w:rsidRPr="003F3978" w14:paraId="34D0E540" w14:textId="77777777" w:rsidTr="00694402">
        <w:trPr>
          <w:trHeight w:val="454"/>
        </w:trPr>
        <w:tc>
          <w:tcPr>
            <w:tcW w:w="5000" w:type="pct"/>
            <w:gridSpan w:val="6"/>
            <w:shd w:val="clear" w:color="auto" w:fill="E7E6E6"/>
          </w:tcPr>
          <w:p w14:paraId="06F309F0" w14:textId="7F7BD708" w:rsidR="00784E72" w:rsidRPr="003F3978" w:rsidRDefault="00784E72" w:rsidP="0091145E">
            <w:pPr>
              <w:pageBreakBefore/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3F3978" w:rsidRPr="003F3978" w14:paraId="337C20D2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161F8CF0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</w:rPr>
              <w:t>Sie analysieren Märkte agrarwirtschaftlicher Erzeugnisse unter Berücksichtigung von betrieblichen Gegebenheiten und entwickeln nachhaltige Marketingkonzepte.</w:t>
            </w:r>
          </w:p>
        </w:tc>
        <w:tc>
          <w:tcPr>
            <w:tcW w:w="779" w:type="pct"/>
          </w:tcPr>
          <w:p w14:paraId="536E8D7B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53368DA9" w14:textId="10E1CE35" w:rsidR="003F3978" w:rsidRPr="003F3978" w:rsidRDefault="003F3978" w:rsidP="00D44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  <w:r w:rsidRPr="003F3978">
              <w:rPr>
                <w:rFonts w:ascii="Arial" w:hAnsi="Arial" w:cs="Arial"/>
              </w:rPr>
              <w:t xml:space="preserve"> analysieren Märkte agrarwirtschaftlicher Erzeugnisse unter Berücksichtigung von betrieblichen Gegebenheiten und entwickeln nachhaltige Marketingkonzepte.</w:t>
            </w:r>
          </w:p>
        </w:tc>
        <w:tc>
          <w:tcPr>
            <w:tcW w:w="779" w:type="pct"/>
          </w:tcPr>
          <w:p w14:paraId="6EE56E66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72C92F5F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2B2B3424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</w:tr>
      <w:tr w:rsidR="003F3978" w:rsidRPr="003F3978" w14:paraId="44AEA5D6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3C03E6AA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</w:rPr>
              <w:t>Sie entwickeln Angebote für Produkte des Betriebes unter Einsatz zeitgemäßer und zielgruppenorientierter Medien weiter.</w:t>
            </w:r>
          </w:p>
        </w:tc>
        <w:tc>
          <w:tcPr>
            <w:tcW w:w="779" w:type="pct"/>
          </w:tcPr>
          <w:p w14:paraId="7CB4E172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4239BC83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3C01CF39" w14:textId="446506CE" w:rsidR="003F3978" w:rsidRPr="003F3978" w:rsidRDefault="003F3978" w:rsidP="00D44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  <w:r w:rsidRPr="003F3978">
              <w:rPr>
                <w:rFonts w:ascii="Arial" w:hAnsi="Arial" w:cs="Arial"/>
              </w:rPr>
              <w:t xml:space="preserve"> entwickeln Angebote für Produkte des Betriebes unter Einsatz zeitgemäßer und zielgruppenorientierter Medien weiter.</w:t>
            </w:r>
          </w:p>
        </w:tc>
        <w:tc>
          <w:tcPr>
            <w:tcW w:w="779" w:type="pct"/>
          </w:tcPr>
          <w:p w14:paraId="2C778B2F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01235CE0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</w:tr>
      <w:tr w:rsidR="00784E72" w:rsidRPr="003F3978" w14:paraId="1C68D89F" w14:textId="77777777" w:rsidTr="0091145E">
        <w:trPr>
          <w:trHeight w:val="454"/>
        </w:trPr>
        <w:tc>
          <w:tcPr>
            <w:tcW w:w="5000" w:type="pct"/>
            <w:gridSpan w:val="6"/>
            <w:shd w:val="clear" w:color="auto" w:fill="E7E6E6" w:themeFill="background2"/>
          </w:tcPr>
          <w:p w14:paraId="19F9BA32" w14:textId="77777777" w:rsidR="00784E72" w:rsidRPr="003F3978" w:rsidRDefault="00784E72" w:rsidP="0091145E">
            <w:pPr>
              <w:pageBreakBefore/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3F3978" w:rsidRPr="003F3978" w14:paraId="6D967DA5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7B1CDFE0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</w:rPr>
              <w:t xml:space="preserve">Sie wählen, unter Einbeziehung arbeitsrechtlicher Anforderungen, geeignetes Personal aus und planen den Personaleinsatz nach persönlicher und fachlicher Eignung, sowie der Qualifikation. </w:t>
            </w:r>
          </w:p>
        </w:tc>
        <w:tc>
          <w:tcPr>
            <w:tcW w:w="779" w:type="pct"/>
          </w:tcPr>
          <w:p w14:paraId="1DC59794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4054BE57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0E16E494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1F4BB47F" w14:textId="5EAFB388" w:rsidR="003F3978" w:rsidRPr="003F3978" w:rsidRDefault="003F3978" w:rsidP="00D44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  <w:r w:rsidRPr="003F3978">
              <w:rPr>
                <w:rFonts w:ascii="Arial" w:hAnsi="Arial" w:cs="Arial"/>
              </w:rPr>
              <w:t xml:space="preserve"> wählen, unter Einbeziehung arbeitsrechtlicher Anforderungen, geeignetes Personal aus und planen den Personaleinsatz nach persönlicher und fachlicher Eignung, sowie der Qualifikation. </w:t>
            </w:r>
          </w:p>
        </w:tc>
        <w:tc>
          <w:tcPr>
            <w:tcW w:w="778" w:type="pct"/>
          </w:tcPr>
          <w:p w14:paraId="36581E7D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</w:tr>
      <w:tr w:rsidR="003F3978" w:rsidRPr="003F3978" w14:paraId="20ABCD7E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415F13C9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</w:rPr>
              <w:t>Sie betreiben Akquise sowie Aus- und Weiterbildung für zukünftige Fachkräfte.</w:t>
            </w:r>
          </w:p>
        </w:tc>
        <w:tc>
          <w:tcPr>
            <w:tcW w:w="779" w:type="pct"/>
          </w:tcPr>
          <w:p w14:paraId="7786CEC6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09B76A15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5C6D6DAF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6D15CC68" w14:textId="77777777" w:rsidR="003F3978" w:rsidRPr="003F3978" w:rsidRDefault="003F3978" w:rsidP="00D446FC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>Sie betreiben Akquise sowie Aus- und Weiterbildung für zukünftige Fachkräfte.</w:t>
            </w:r>
          </w:p>
        </w:tc>
        <w:tc>
          <w:tcPr>
            <w:tcW w:w="778" w:type="pct"/>
          </w:tcPr>
          <w:p w14:paraId="784F98F4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</w:tr>
      <w:tr w:rsidR="00784E72" w:rsidRPr="003F3978" w14:paraId="44E60E06" w14:textId="77777777" w:rsidTr="0091145E">
        <w:trPr>
          <w:trHeight w:val="454"/>
        </w:trPr>
        <w:tc>
          <w:tcPr>
            <w:tcW w:w="5000" w:type="pct"/>
            <w:gridSpan w:val="6"/>
            <w:shd w:val="clear" w:color="auto" w:fill="E7E6E6" w:themeFill="background2"/>
          </w:tcPr>
          <w:p w14:paraId="7D4B1809" w14:textId="77777777" w:rsidR="00784E72" w:rsidRPr="003F3978" w:rsidRDefault="00784E72" w:rsidP="0091145E">
            <w:pPr>
              <w:pageBreakBefore/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3F3978" w:rsidRPr="003F3978" w14:paraId="37E2F083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79F71032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</w:rPr>
              <w:t>Sie beurteilen Führungsstile unter den Aspekten der Mitarbeitermotivation und –</w:t>
            </w:r>
            <w:proofErr w:type="spellStart"/>
            <w:r w:rsidRPr="003F3978">
              <w:rPr>
                <w:rFonts w:ascii="Arial" w:hAnsi="Arial" w:cs="Arial"/>
              </w:rPr>
              <w:t>partizipation</w:t>
            </w:r>
            <w:proofErr w:type="spellEnd"/>
            <w:r w:rsidRPr="003F3978">
              <w:rPr>
                <w:rFonts w:ascii="Arial" w:hAnsi="Arial" w:cs="Arial"/>
              </w:rPr>
              <w:t xml:space="preserve"> sowie der Kommunikation.</w:t>
            </w:r>
          </w:p>
        </w:tc>
        <w:tc>
          <w:tcPr>
            <w:tcW w:w="779" w:type="pct"/>
          </w:tcPr>
          <w:p w14:paraId="16353B90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133ABE49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4FA2A81F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2E18908B" w14:textId="48B4E6A7" w:rsidR="003F3978" w:rsidRPr="003F3978" w:rsidRDefault="003F3978" w:rsidP="00D446FC">
            <w:pPr>
              <w:rPr>
                <w:rFonts w:ascii="Arial" w:hAnsi="Arial" w:cs="Arial"/>
              </w:rPr>
            </w:pPr>
            <w:r w:rsidRPr="003F3978">
              <w:rPr>
                <w:rFonts w:ascii="Arial" w:hAnsi="Arial" w:cs="Arial"/>
              </w:rPr>
              <w:t xml:space="preserve">Sie beurteilen Führungsstile unter den Aspekten der Mitarbeitermotivation und </w:t>
            </w:r>
            <w:r w:rsidR="00784E72">
              <w:rPr>
                <w:rFonts w:ascii="Arial" w:hAnsi="Arial" w:cs="Arial"/>
              </w:rPr>
              <w:br/>
            </w:r>
            <w:r w:rsidRPr="003F3978">
              <w:rPr>
                <w:rFonts w:ascii="Arial" w:hAnsi="Arial" w:cs="Arial"/>
              </w:rPr>
              <w:t>–</w:t>
            </w:r>
            <w:proofErr w:type="spellStart"/>
            <w:r w:rsidRPr="003F3978">
              <w:rPr>
                <w:rFonts w:ascii="Arial" w:hAnsi="Arial" w:cs="Arial"/>
              </w:rPr>
              <w:t>partizipation</w:t>
            </w:r>
            <w:proofErr w:type="spellEnd"/>
            <w:r w:rsidRPr="003F3978">
              <w:rPr>
                <w:rFonts w:ascii="Arial" w:hAnsi="Arial" w:cs="Arial"/>
              </w:rPr>
              <w:t xml:space="preserve"> sowie der Kommunikation.</w:t>
            </w:r>
          </w:p>
        </w:tc>
        <w:tc>
          <w:tcPr>
            <w:tcW w:w="778" w:type="pct"/>
          </w:tcPr>
          <w:p w14:paraId="7F6DF1D2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</w:tr>
      <w:tr w:rsidR="003F3978" w:rsidRPr="003F3978" w14:paraId="4D31206D" w14:textId="77777777" w:rsidTr="00694402">
        <w:trPr>
          <w:trHeight w:val="454"/>
        </w:trPr>
        <w:tc>
          <w:tcPr>
            <w:tcW w:w="1106" w:type="pct"/>
            <w:shd w:val="clear" w:color="auto" w:fill="E7E6E6"/>
          </w:tcPr>
          <w:p w14:paraId="1831A8BC" w14:textId="77777777" w:rsidR="003F3978" w:rsidRPr="003F3978" w:rsidRDefault="003F3978" w:rsidP="00D44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3978">
              <w:rPr>
                <w:rFonts w:ascii="Arial" w:hAnsi="Arial" w:cs="Arial"/>
              </w:rPr>
              <w:t>Sie schätzen Maßnahmen der Gesundheitsförderung und der Arbeitssicherheit unter Berücksichtigung betrieblicher Gegebenheiten ab.</w:t>
            </w:r>
          </w:p>
        </w:tc>
        <w:tc>
          <w:tcPr>
            <w:tcW w:w="779" w:type="pct"/>
          </w:tcPr>
          <w:p w14:paraId="4422F14A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0B8F782E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1A023D74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14:paraId="62FC3C38" w14:textId="77777777" w:rsidR="003F3978" w:rsidRPr="003F3978" w:rsidRDefault="003F3978" w:rsidP="00D446FC">
            <w:pPr>
              <w:rPr>
                <w:rFonts w:ascii="Arial" w:hAnsi="Arial" w:cs="Arial"/>
              </w:rPr>
            </w:pPr>
          </w:p>
        </w:tc>
        <w:tc>
          <w:tcPr>
            <w:tcW w:w="778" w:type="pct"/>
          </w:tcPr>
          <w:p w14:paraId="019F0936" w14:textId="7A4002CE" w:rsidR="003F3978" w:rsidRPr="003F3978" w:rsidRDefault="003F3978" w:rsidP="00D44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 und Schüler</w:t>
            </w:r>
            <w:r w:rsidRPr="003F3978">
              <w:rPr>
                <w:rFonts w:ascii="Arial" w:hAnsi="Arial" w:cs="Arial"/>
              </w:rPr>
              <w:t xml:space="preserve"> schätzen Maßnahmen der Gesundheitsförderung und der Arbeitssicherheit unter Berücksichtigung betrieblicher Gegebenheiten ab.</w:t>
            </w:r>
          </w:p>
        </w:tc>
      </w:tr>
    </w:tbl>
    <w:p w14:paraId="1DCABD20" w14:textId="22B488CD" w:rsidR="003F3978" w:rsidRDefault="003F3978"/>
    <w:p w14:paraId="061EC960" w14:textId="45647ADE" w:rsidR="008648B0" w:rsidRPr="007C0093" w:rsidRDefault="008648B0" w:rsidP="006B3857">
      <w:pPr>
        <w:rPr>
          <w:rFonts w:ascii="Arial" w:hAnsi="Arial" w:cs="Arial"/>
        </w:rPr>
      </w:pPr>
    </w:p>
    <w:sectPr w:rsidR="008648B0" w:rsidRPr="007C0093" w:rsidSect="00180553">
      <w:headerReference w:type="even" r:id="rId7"/>
      <w:headerReference w:type="default" r:id="rId8"/>
      <w:footerReference w:type="default" r:id="rId9"/>
      <w:pgSz w:w="16838" w:h="11906" w:orient="landscape"/>
      <w:pgMar w:top="141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DD0B" w14:textId="77777777" w:rsidR="00C540EC" w:rsidRDefault="00C540EC" w:rsidP="0098543D">
      <w:pPr>
        <w:spacing w:line="240" w:lineRule="auto"/>
      </w:pPr>
      <w:r>
        <w:separator/>
      </w:r>
    </w:p>
  </w:endnote>
  <w:endnote w:type="continuationSeparator" w:id="0">
    <w:p w14:paraId="3BFC29EF" w14:textId="77777777" w:rsidR="00C540EC" w:rsidRDefault="00C540EC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F076" w14:textId="6FE09358" w:rsidR="0098543D" w:rsidRDefault="0098543D" w:rsidP="0098543D">
    <w:pPr>
      <w:pStyle w:val="Fuzeile"/>
      <w:ind w:left="4860"/>
    </w:pPr>
    <w:r>
      <w:fldChar w:fldCharType="begin"/>
    </w:r>
    <w:r>
      <w:instrText xml:space="preserve"> PAGE  \* ArabicDash  \* MERGEFORMAT </w:instrText>
    </w:r>
    <w:r>
      <w:fldChar w:fldCharType="separate"/>
    </w:r>
    <w:r w:rsidR="007C0093">
      <w:rPr>
        <w:noProof/>
      </w:rPr>
      <w:t>- 9 -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7ED4" w14:textId="77777777" w:rsidR="00C540EC" w:rsidRDefault="00C540EC" w:rsidP="0098543D">
      <w:pPr>
        <w:spacing w:line="240" w:lineRule="auto"/>
      </w:pPr>
      <w:r>
        <w:separator/>
      </w:r>
    </w:p>
  </w:footnote>
  <w:footnote w:type="continuationSeparator" w:id="0">
    <w:p w14:paraId="7EB15695" w14:textId="77777777" w:rsidR="00C540EC" w:rsidRDefault="00C540EC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96746684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6DDDA77D" w14:textId="2B280DB6" w:rsidR="000056BA" w:rsidRDefault="000056BA" w:rsidP="00EC38B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D27DB64" w14:textId="77777777" w:rsidR="000056BA" w:rsidRDefault="000056BA" w:rsidP="000056B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9BC9" w14:textId="77777777" w:rsidR="00E62B87" w:rsidRPr="00961268" w:rsidRDefault="00E62B87" w:rsidP="00E62B87">
    <w:pPr>
      <w:tabs>
        <w:tab w:val="left" w:pos="11469"/>
      </w:tabs>
      <w:autoSpaceDE w:val="0"/>
      <w:autoSpaceDN w:val="0"/>
      <w:adjustRightInd w:val="0"/>
      <w:spacing w:after="0" w:line="240" w:lineRule="auto"/>
      <w:ind w:right="360"/>
      <w:rPr>
        <w:rFonts w:ascii="Arial" w:hAnsi="Arial" w:cs="Arial"/>
        <w:sz w:val="20"/>
        <w:szCs w:val="20"/>
      </w:rPr>
    </w:pPr>
    <w:r w:rsidRPr="00E942FA">
      <w:rPr>
        <w:rFonts w:ascii="Arial" w:hAnsi="Arial" w:cs="Arial"/>
        <w:b/>
        <w:bCs/>
        <w:sz w:val="20"/>
        <w:szCs w:val="20"/>
      </w:rPr>
      <w:t>Kompetenzanalyse der Rahmenrichtlinien für den berufsbezogenen Lernbereich in der Fachschule Agrarwirtschaft Klasse 1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Pr="00EC763B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673924340"/>
        <w:docPartObj>
          <w:docPartGallery w:val="Page Numbers (Top of Page)"/>
          <w:docPartUnique/>
        </w:docPartObj>
      </w:sdtPr>
      <w:sdtEndPr/>
      <w:sdtContent>
        <w:r w:rsidRPr="00961268">
          <w:rPr>
            <w:rFonts w:ascii="Arial" w:hAnsi="Arial" w:cs="Arial"/>
          </w:rPr>
          <w:t xml:space="preserve">Seite </w:t>
        </w:r>
        <w:r w:rsidRPr="00961268">
          <w:rPr>
            <w:rFonts w:ascii="Arial" w:hAnsi="Arial" w:cs="Arial"/>
            <w:sz w:val="24"/>
            <w:szCs w:val="24"/>
          </w:rPr>
          <w:fldChar w:fldCharType="begin"/>
        </w:r>
        <w:r w:rsidRPr="00961268">
          <w:rPr>
            <w:rFonts w:ascii="Arial" w:hAnsi="Arial" w:cs="Arial"/>
          </w:rPr>
          <w:instrText>PAGE</w:instrText>
        </w:r>
        <w:r w:rsidRPr="00961268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1</w:t>
        </w:r>
        <w:r w:rsidRPr="00961268">
          <w:rPr>
            <w:rFonts w:ascii="Arial" w:hAnsi="Arial" w:cs="Arial"/>
            <w:sz w:val="24"/>
            <w:szCs w:val="24"/>
          </w:rPr>
          <w:fldChar w:fldCharType="end"/>
        </w:r>
        <w:r w:rsidRPr="00961268">
          <w:rPr>
            <w:rFonts w:ascii="Arial" w:hAnsi="Arial" w:cs="Arial"/>
          </w:rPr>
          <w:t xml:space="preserve"> von </w:t>
        </w:r>
        <w:r w:rsidRPr="00961268">
          <w:rPr>
            <w:rFonts w:ascii="Arial" w:hAnsi="Arial" w:cs="Arial"/>
            <w:sz w:val="24"/>
            <w:szCs w:val="24"/>
          </w:rPr>
          <w:fldChar w:fldCharType="begin"/>
        </w:r>
        <w:r w:rsidRPr="00961268">
          <w:rPr>
            <w:rFonts w:ascii="Arial" w:hAnsi="Arial" w:cs="Arial"/>
          </w:rPr>
          <w:instrText>NUMPAGES</w:instrText>
        </w:r>
        <w:r w:rsidRPr="00961268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6</w:t>
        </w:r>
        <w:r w:rsidRPr="00961268">
          <w:rPr>
            <w:rFonts w:ascii="Arial" w:hAnsi="Arial" w:cs="Arial"/>
            <w:sz w:val="24"/>
            <w:szCs w:val="24"/>
          </w:rPr>
          <w:fldChar w:fldCharType="end"/>
        </w:r>
      </w:sdtContent>
    </w:sdt>
  </w:p>
  <w:p w14:paraId="3E18E5A4" w14:textId="77777777" w:rsidR="002E2914" w:rsidRDefault="002E29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4"/>
    <w:rsid w:val="000056BA"/>
    <w:rsid w:val="00021139"/>
    <w:rsid w:val="0004673B"/>
    <w:rsid w:val="000476AC"/>
    <w:rsid w:val="00057F51"/>
    <w:rsid w:val="00075C10"/>
    <w:rsid w:val="00083931"/>
    <w:rsid w:val="00114F9B"/>
    <w:rsid w:val="00130622"/>
    <w:rsid w:val="00141A87"/>
    <w:rsid w:val="00153151"/>
    <w:rsid w:val="00161543"/>
    <w:rsid w:val="00180553"/>
    <w:rsid w:val="001D0B83"/>
    <w:rsid w:val="001D1932"/>
    <w:rsid w:val="001F5003"/>
    <w:rsid w:val="0021286C"/>
    <w:rsid w:val="0023537E"/>
    <w:rsid w:val="002568B7"/>
    <w:rsid w:val="002767FC"/>
    <w:rsid w:val="00297B5B"/>
    <w:rsid w:val="002B0438"/>
    <w:rsid w:val="002E0135"/>
    <w:rsid w:val="002E2914"/>
    <w:rsid w:val="002E689B"/>
    <w:rsid w:val="00317746"/>
    <w:rsid w:val="003913DD"/>
    <w:rsid w:val="003C0996"/>
    <w:rsid w:val="003C1AA7"/>
    <w:rsid w:val="003E0D3F"/>
    <w:rsid w:val="003F3978"/>
    <w:rsid w:val="0042043D"/>
    <w:rsid w:val="004263E4"/>
    <w:rsid w:val="00460B55"/>
    <w:rsid w:val="004F18FF"/>
    <w:rsid w:val="00506C62"/>
    <w:rsid w:val="00524BA4"/>
    <w:rsid w:val="00531F52"/>
    <w:rsid w:val="0054524F"/>
    <w:rsid w:val="0057447B"/>
    <w:rsid w:val="005836FA"/>
    <w:rsid w:val="0059267A"/>
    <w:rsid w:val="005A719C"/>
    <w:rsid w:val="005B1882"/>
    <w:rsid w:val="005D3C9D"/>
    <w:rsid w:val="005E5091"/>
    <w:rsid w:val="00604D1B"/>
    <w:rsid w:val="00626E19"/>
    <w:rsid w:val="00694402"/>
    <w:rsid w:val="006B3857"/>
    <w:rsid w:val="006C2AC6"/>
    <w:rsid w:val="006D6F82"/>
    <w:rsid w:val="006F4457"/>
    <w:rsid w:val="00737191"/>
    <w:rsid w:val="00741B5A"/>
    <w:rsid w:val="00745E01"/>
    <w:rsid w:val="007508AD"/>
    <w:rsid w:val="00755D80"/>
    <w:rsid w:val="0076141E"/>
    <w:rsid w:val="00784E72"/>
    <w:rsid w:val="007B745F"/>
    <w:rsid w:val="007C0093"/>
    <w:rsid w:val="0082720D"/>
    <w:rsid w:val="0084679C"/>
    <w:rsid w:val="008648B0"/>
    <w:rsid w:val="008B327A"/>
    <w:rsid w:val="008C1CFD"/>
    <w:rsid w:val="00900333"/>
    <w:rsid w:val="009147BA"/>
    <w:rsid w:val="0096461F"/>
    <w:rsid w:val="00970586"/>
    <w:rsid w:val="0098543D"/>
    <w:rsid w:val="009D38B8"/>
    <w:rsid w:val="009E3268"/>
    <w:rsid w:val="009F2641"/>
    <w:rsid w:val="00A34E3E"/>
    <w:rsid w:val="00A409D6"/>
    <w:rsid w:val="00A954C2"/>
    <w:rsid w:val="00AC0F5F"/>
    <w:rsid w:val="00AD2B51"/>
    <w:rsid w:val="00AD5B28"/>
    <w:rsid w:val="00AF3CA2"/>
    <w:rsid w:val="00AF5D8B"/>
    <w:rsid w:val="00B020FA"/>
    <w:rsid w:val="00B221DF"/>
    <w:rsid w:val="00B83237"/>
    <w:rsid w:val="00B87F1A"/>
    <w:rsid w:val="00B94DAB"/>
    <w:rsid w:val="00BA1B56"/>
    <w:rsid w:val="00BD2C32"/>
    <w:rsid w:val="00BE7B8C"/>
    <w:rsid w:val="00C272BB"/>
    <w:rsid w:val="00C540EC"/>
    <w:rsid w:val="00C574C9"/>
    <w:rsid w:val="00C6610F"/>
    <w:rsid w:val="00C82F5C"/>
    <w:rsid w:val="00D208BC"/>
    <w:rsid w:val="00D33FBC"/>
    <w:rsid w:val="00D52DAD"/>
    <w:rsid w:val="00D76834"/>
    <w:rsid w:val="00DD113A"/>
    <w:rsid w:val="00DD3CCB"/>
    <w:rsid w:val="00DD6DB3"/>
    <w:rsid w:val="00DF313D"/>
    <w:rsid w:val="00E10067"/>
    <w:rsid w:val="00E27B35"/>
    <w:rsid w:val="00E62B87"/>
    <w:rsid w:val="00E62DF4"/>
    <w:rsid w:val="00EB0C1C"/>
    <w:rsid w:val="00F305C4"/>
    <w:rsid w:val="00F3746A"/>
    <w:rsid w:val="00F504BB"/>
    <w:rsid w:val="00F640C2"/>
    <w:rsid w:val="00FD055F"/>
    <w:rsid w:val="00FD17EC"/>
    <w:rsid w:val="00FE06B2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45E"/>
  <w15:chartTrackingRefBased/>
  <w15:docId w15:val="{987DC58E-4839-4965-97DE-98D343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91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spacing w:after="0" w:line="259" w:lineRule="auto"/>
      <w:ind w:left="720"/>
      <w:contextualSpacing/>
    </w:pPr>
    <w:rPr>
      <w:color w:val="505050"/>
    </w:r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spacing w:after="0" w:line="259" w:lineRule="auto"/>
      <w:ind w:left="284" w:hanging="284"/>
    </w:pPr>
    <w:rPr>
      <w:color w:val="505050"/>
    </w:r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spacing w:after="0" w:line="259" w:lineRule="auto"/>
      <w:ind w:left="567" w:hanging="283"/>
    </w:pPr>
    <w:rPr>
      <w:color w:val="505050"/>
    </w:r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spacing w:after="0" w:line="259" w:lineRule="auto"/>
      <w:ind w:left="851" w:hanging="284"/>
    </w:pPr>
    <w:rPr>
      <w:color w:val="505050"/>
    </w:r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FuzeileZchn">
    <w:name w:val="Fußzeile Zchn"/>
    <w:basedOn w:val="Absatz-Standardschriftart"/>
    <w:link w:val="Fuzeile"/>
    <w:uiPriority w:val="99"/>
    <w:rsid w:val="0098543D"/>
    <w:rPr>
      <w:color w:val="505050"/>
    </w:rPr>
  </w:style>
  <w:style w:type="table" w:styleId="Tabellenraster">
    <w:name w:val="Table Grid"/>
    <w:basedOn w:val="NormaleTabelle"/>
    <w:uiPriority w:val="59"/>
    <w:rsid w:val="002E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0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K541 des Niedersächsischen Kultusministeriums</dc:creator>
  <cp:keywords/>
  <dc:description/>
  <cp:lastModifiedBy>Bodenstedt, Christian (NLQ)</cp:lastModifiedBy>
  <cp:revision>2</cp:revision>
  <dcterms:created xsi:type="dcterms:W3CDTF">2025-08-13T12:14:00Z</dcterms:created>
  <dcterms:modified xsi:type="dcterms:W3CDTF">2025-08-13T12:14:00Z</dcterms:modified>
</cp:coreProperties>
</file>