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194.0" w:type="dxa"/>
        <w:jc w:val="left"/>
        <w:tblInd w:w="0.0" w:type="dxa"/>
        <w:tblLayout w:type="fixed"/>
        <w:tblLook w:val="0000"/>
      </w:tblPr>
      <w:tblGrid>
        <w:gridCol w:w="4819"/>
        <w:gridCol w:w="5375"/>
        <w:tblGridChange w:id="0">
          <w:tblGrid>
            <w:gridCol w:w="4819"/>
            <w:gridCol w:w="5375"/>
          </w:tblGrid>
        </w:tblGridChange>
      </w:tblGrid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Bild Nr./ Zeitangabe (Stunde/Minute/Sekunde) / Nr. Einstellung-Bild-Nr.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3">
            <w:pPr>
              <w:rPr/>
            </w:pPr>
            <w:r w:rsidDel="00000000" w:rsidR="00000000" w:rsidRPr="00000000">
              <w:rPr>
                <w:rtl w:val="0"/>
              </w:rPr>
              <w:t xml:space="preserve">Ort, Zeitangabe, Schnitt/Blende,</w:t>
            </w:r>
          </w:p>
          <w:p w:rsidR="00000000" w:rsidDel="00000000" w:rsidP="00000000" w:rsidRDefault="00000000" w:rsidRPr="00000000" w14:paraId="00000004">
            <w:pPr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Kamera</w:t>
            </w:r>
            <w:r w:rsidDel="00000000" w:rsidR="00000000" w:rsidRPr="00000000">
              <w:rPr>
                <w:rtl w:val="0"/>
              </w:rPr>
              <w:t xml:space="preserve">: Einstellungsgröße, -bewegung, -perspektive</w:t>
            </w:r>
          </w:p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Ton</w:t>
            </w:r>
            <w:r w:rsidDel="00000000" w:rsidR="00000000" w:rsidRPr="00000000">
              <w:rPr>
                <w:rtl w:val="0"/>
              </w:rPr>
              <w:t xml:space="preserve">: Geräusche, Musik, Soundeffekte, </w:t>
            </w:r>
            <w:r w:rsidDel="00000000" w:rsidR="00000000" w:rsidRPr="00000000">
              <w:rPr>
                <w:i w:val="1"/>
                <w:rtl w:val="0"/>
              </w:rPr>
              <w:t xml:space="preserve">gesprochener Text: immer kursiv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Beobachtungen</w:t>
            </w:r>
            <w:r w:rsidDel="00000000" w:rsidR="00000000" w:rsidRPr="00000000">
              <w:rPr>
                <w:rtl w:val="0"/>
              </w:rPr>
              <w:t xml:space="preserve">: zu den Personen, ihren Handlungen, dem Raum, besonderen Gegenständen, Farbe, Licht usw. </w:t>
            </w:r>
          </w:p>
          <w:p w:rsidR="00000000" w:rsidDel="00000000" w:rsidP="00000000" w:rsidRDefault="00000000" w:rsidRPr="00000000" w14:paraId="00000007">
            <w:pPr>
              <w:rPr>
                <w:u w:val="single"/>
              </w:rPr>
            </w:pPr>
            <w:r w:rsidDel="00000000" w:rsidR="00000000" w:rsidRPr="00000000">
              <w:rPr>
                <w:u w:val="single"/>
                <w:rtl w:val="0"/>
              </w:rPr>
              <w:t xml:space="preserve">interpretierende Aussagen zur Funktion der Stelle</w:t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57830" cy="2225040"/>
                  <wp:effectExtent b="0" l="0" r="0" t="0"/>
                  <wp:docPr id="7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6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830" cy="22250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 0.00.00 E1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97810" cy="2101850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7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810" cy="2101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 0.00.4 E2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665095" cy="1998980"/>
                  <wp:effectExtent b="0" l="0" r="0" t="0"/>
                  <wp:docPr id="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095" cy="19989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3 0.00.09 E3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34970" cy="2197735"/>
                  <wp:effectExtent b="0" l="0" r="0" t="0"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197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4 0.00.11 E4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39415" cy="2207895"/>
                  <wp:effectExtent b="0" l="0" r="0" t="0"/>
                  <wp:docPr id="10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5" cy="22078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5 0.00.13 E5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48940" cy="2214880"/>
                  <wp:effectExtent b="0" l="0" r="0" t="0"/>
                  <wp:docPr id="1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22148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6 0.00.15 E6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26080" cy="2194560"/>
                  <wp:effectExtent b="0" l="0" r="0" t="0"/>
                  <wp:docPr id="1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0" cy="2194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7 0.00.18 E7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16555" cy="2190750"/>
                  <wp:effectExtent b="0" l="0" r="0" t="0"/>
                  <wp:docPr id="15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3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555" cy="219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8 0.00.21 E8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34970" cy="2197735"/>
                  <wp:effectExtent b="0" l="0" r="0" t="0"/>
                  <wp:docPr id="14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197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9 0.00.21 E9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1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5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924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10 0.00.24</w:t>
              <w:tab/>
              <w:t xml:space="preserve">E10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61945" cy="2146300"/>
                  <wp:effectExtent b="0" l="0" r="0" t="0"/>
                  <wp:docPr id="16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6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11 0.00.26 E11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39085" cy="2129155"/>
                  <wp:effectExtent b="0" l="0" r="0" t="0"/>
                  <wp:docPr id="1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7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129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12 0.00.26 E12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9250" cy="2173605"/>
                  <wp:effectExtent b="0" l="0" r="0" t="0"/>
                  <wp:docPr id="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8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250" cy="21736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13 0.00.30 E13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2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14 0.00.33 E14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34970" cy="2197735"/>
                  <wp:effectExtent b="0" l="0" r="0" t="0"/>
                  <wp:docPr id="21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0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4970" cy="21977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15 0.00.35 E15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22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16 0.00.38 E16</w:t>
              <w:tab/>
              <w:t xml:space="preserve"> 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17 0.00.40 E17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24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3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18 0.00.41 E18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907665" cy="2180590"/>
                  <wp:effectExtent b="0" l="0" r="0" t="0"/>
                  <wp:docPr id="25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4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65" cy="2180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19 0.00.43 E19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39085" cy="2129155"/>
                  <wp:effectExtent b="0" l="0" r="0" t="0"/>
                  <wp:docPr id="26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5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129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20 0.00.45 E20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80360" cy="2163445"/>
                  <wp:effectExtent b="0" l="0" r="0" t="0"/>
                  <wp:docPr id="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6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634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21 00.00.47 E21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47975" cy="2139315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7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7975" cy="21393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22 0.00.49 E22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11780" cy="2112010"/>
                  <wp:effectExtent b="0" l="0" r="0" t="0"/>
                  <wp:docPr id="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8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12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23 00.00.50 E23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11780" cy="2112010"/>
                  <wp:effectExtent b="0" l="0" r="0" t="0"/>
                  <wp:docPr id="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9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780" cy="211201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24 0.00.52 E24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839085" cy="2129155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30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085" cy="21291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25 0.00.54 E25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2793365" cy="2094865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-13" l="-11" r="-11" t="-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365" cy="20948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1793"/>
              </w:tabs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Nr. 26 0.00.57 E26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headerReference r:id="rId32" w:type="default"/>
      <w:footerReference r:id="rId33" w:type="default"/>
      <w:pgSz w:h="16838" w:w="11906" w:orient="portrait"/>
      <w:pgMar w:bottom="1693" w:top="1474" w:left="1134" w:right="1134" w:header="1134" w:footer="1134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9">
    <w:pPr>
      <w:rPr/>
    </w:pPr>
    <w:r w:rsidDel="00000000" w:rsidR="00000000" w:rsidRPr="00000000">
      <w:rPr>
        <w:rtl w:val="0"/>
      </w:rPr>
      <w:t xml:space="preserve">Einstellungsprotokoll zum Levis-Spot „Refrigerator“ (1988)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de-DE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55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3.png"/><Relationship Id="rId22" Type="http://schemas.openxmlformats.org/officeDocument/2006/relationships/image" Target="media/image22.png"/><Relationship Id="rId21" Type="http://schemas.openxmlformats.org/officeDocument/2006/relationships/image" Target="media/image21.png"/><Relationship Id="rId24" Type="http://schemas.openxmlformats.org/officeDocument/2006/relationships/image" Target="media/image24.png"/><Relationship Id="rId23" Type="http://schemas.openxmlformats.org/officeDocument/2006/relationships/image" Target="media/image2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26" Type="http://schemas.openxmlformats.org/officeDocument/2006/relationships/image" Target="media/image17.png"/><Relationship Id="rId25" Type="http://schemas.openxmlformats.org/officeDocument/2006/relationships/image" Target="media/image26.png"/><Relationship Id="rId28" Type="http://schemas.openxmlformats.org/officeDocument/2006/relationships/image" Target="media/image14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29" Type="http://schemas.openxmlformats.org/officeDocument/2006/relationships/image" Target="media/image16.png"/><Relationship Id="rId7" Type="http://schemas.openxmlformats.org/officeDocument/2006/relationships/image" Target="media/image9.png"/><Relationship Id="rId8" Type="http://schemas.openxmlformats.org/officeDocument/2006/relationships/image" Target="media/image19.png"/><Relationship Id="rId31" Type="http://schemas.openxmlformats.org/officeDocument/2006/relationships/image" Target="media/image13.png"/><Relationship Id="rId30" Type="http://schemas.openxmlformats.org/officeDocument/2006/relationships/image" Target="media/image4.png"/><Relationship Id="rId11" Type="http://schemas.openxmlformats.org/officeDocument/2006/relationships/image" Target="media/image2.png"/><Relationship Id="rId33" Type="http://schemas.openxmlformats.org/officeDocument/2006/relationships/footer" Target="footer1.xml"/><Relationship Id="rId10" Type="http://schemas.openxmlformats.org/officeDocument/2006/relationships/image" Target="media/image5.png"/><Relationship Id="rId32" Type="http://schemas.openxmlformats.org/officeDocument/2006/relationships/header" Target="header1.xml"/><Relationship Id="rId13" Type="http://schemas.openxmlformats.org/officeDocument/2006/relationships/image" Target="media/image15.png"/><Relationship Id="rId12" Type="http://schemas.openxmlformats.org/officeDocument/2006/relationships/image" Target="media/image8.png"/><Relationship Id="rId15" Type="http://schemas.openxmlformats.org/officeDocument/2006/relationships/image" Target="media/image11.png"/><Relationship Id="rId14" Type="http://schemas.openxmlformats.org/officeDocument/2006/relationships/image" Target="media/image12.png"/><Relationship Id="rId17" Type="http://schemas.openxmlformats.org/officeDocument/2006/relationships/image" Target="media/image1.png"/><Relationship Id="rId16" Type="http://schemas.openxmlformats.org/officeDocument/2006/relationships/image" Target="media/image10.png"/><Relationship Id="rId19" Type="http://schemas.openxmlformats.org/officeDocument/2006/relationships/image" Target="media/image3.png"/><Relationship Id="rId1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